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15, 2022</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Caribou Biosciences,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219"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3300" w:type="dxa"/>
            <w:vAlign w:val="bottom"/>
          </w:tcPr>
          <w:p>
            <w:pPr>
              <w:jc w:val="center"/>
              <w:ind w:right="759"/>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1539"/>
              <w:spacing w:after="0"/>
              <w:rPr>
                <w:sz w:val="20"/>
                <w:szCs w:val="20"/>
                <w:color w:val="auto"/>
              </w:rPr>
            </w:pPr>
            <w:r>
              <w:rPr>
                <w:rFonts w:ascii="Arial" w:cs="Arial" w:eastAsia="Arial" w:hAnsi="Arial"/>
                <w:sz w:val="18"/>
                <w:szCs w:val="18"/>
                <w:b w:val="1"/>
                <w:bCs w:val="1"/>
                <w:color w:val="auto"/>
              </w:rPr>
              <w:t>001-40631</w:t>
            </w:r>
          </w:p>
        </w:tc>
        <w:tc>
          <w:tcPr>
            <w:tcW w:w="2300" w:type="dxa"/>
            <w:vAlign w:val="bottom"/>
          </w:tcPr>
          <w:p>
            <w:pPr>
              <w:jc w:val="right"/>
              <w:ind w:right="41"/>
              <w:spacing w:after="0"/>
              <w:rPr>
                <w:sz w:val="20"/>
                <w:szCs w:val="20"/>
                <w:color w:val="auto"/>
              </w:rPr>
            </w:pPr>
            <w:r>
              <w:rPr>
                <w:rFonts w:ascii="Arial" w:cs="Arial" w:eastAsia="Arial" w:hAnsi="Arial"/>
                <w:sz w:val="18"/>
                <w:szCs w:val="18"/>
                <w:b w:val="1"/>
                <w:bCs w:val="1"/>
                <w:color w:val="auto"/>
              </w:rPr>
              <w:t>45-3728228</w:t>
            </w:r>
          </w:p>
        </w:tc>
      </w:tr>
      <w:tr>
        <w:trPr>
          <w:trHeight w:val="180"/>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3"/>
              </w:rPr>
              <w:t>(State or Other Jurisdiction</w:t>
            </w:r>
          </w:p>
        </w:tc>
        <w:tc>
          <w:tcPr>
            <w:tcW w:w="36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4"/>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3300" w:type="dxa"/>
            <w:vAlign w:val="bottom"/>
          </w:tcPr>
          <w:p>
            <w:pPr>
              <w:jc w:val="center"/>
              <w:ind w:right="759"/>
              <w:spacing w:after="0"/>
              <w:rPr>
                <w:sz w:val="20"/>
                <w:szCs w:val="20"/>
                <w:color w:val="auto"/>
              </w:rPr>
            </w:pPr>
            <w:r>
              <w:rPr>
                <w:rFonts w:ascii="Arial" w:cs="Arial" w:eastAsia="Arial" w:hAnsi="Arial"/>
                <w:sz w:val="18"/>
                <w:szCs w:val="18"/>
                <w:b w:val="1"/>
                <w:bCs w:val="1"/>
                <w:color w:val="auto"/>
                <w:w w:val="89"/>
              </w:rPr>
              <w:t>2929 7th Street, Suite 105</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48"/>
        </w:trPr>
        <w:tc>
          <w:tcPr>
            <w:tcW w:w="3300" w:type="dxa"/>
            <w:vAlign w:val="bottom"/>
          </w:tcPr>
          <w:p>
            <w:pPr>
              <w:jc w:val="center"/>
              <w:ind w:right="759"/>
              <w:spacing w:after="0"/>
              <w:rPr>
                <w:sz w:val="20"/>
                <w:szCs w:val="20"/>
                <w:color w:val="auto"/>
              </w:rPr>
            </w:pPr>
            <w:r>
              <w:rPr>
                <w:rFonts w:ascii="Arial" w:cs="Arial" w:eastAsia="Arial" w:hAnsi="Arial"/>
                <w:sz w:val="18"/>
                <w:szCs w:val="18"/>
                <w:b w:val="1"/>
                <w:bCs w:val="1"/>
                <w:color w:val="auto"/>
                <w:w w:val="91"/>
              </w:rPr>
              <w:t>Berkeley, California</w:t>
            </w:r>
          </w:p>
        </w:tc>
        <w:tc>
          <w:tcPr>
            <w:tcW w:w="3680" w:type="dxa"/>
            <w:vAlign w:val="bottom"/>
          </w:tcPr>
          <w:p>
            <w:pPr>
              <w:spacing w:after="0"/>
              <w:rPr>
                <w:sz w:val="21"/>
                <w:szCs w:val="21"/>
                <w:color w:val="auto"/>
              </w:rPr>
            </w:pPr>
          </w:p>
        </w:tc>
        <w:tc>
          <w:tcPr>
            <w:tcW w:w="2300" w:type="dxa"/>
            <w:vAlign w:val="bottom"/>
          </w:tcPr>
          <w:p>
            <w:pPr>
              <w:jc w:val="right"/>
              <w:ind w:right="261"/>
              <w:spacing w:after="0"/>
              <w:rPr>
                <w:sz w:val="20"/>
                <w:szCs w:val="20"/>
                <w:color w:val="auto"/>
              </w:rPr>
            </w:pPr>
            <w:r>
              <w:rPr>
                <w:rFonts w:ascii="Arial" w:cs="Arial" w:eastAsia="Arial" w:hAnsi="Arial"/>
                <w:sz w:val="18"/>
                <w:szCs w:val="18"/>
                <w:b w:val="1"/>
                <w:bCs w:val="1"/>
                <w:color w:val="auto"/>
              </w:rPr>
              <w:t>94710</w:t>
            </w:r>
          </w:p>
        </w:tc>
      </w:tr>
      <w:tr>
        <w:trPr>
          <w:trHeight w:val="204"/>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80" w:type="dxa"/>
            <w:vAlign w:val="bottom"/>
          </w:tcPr>
          <w:p>
            <w:pPr>
              <w:spacing w:after="0"/>
              <w:rPr>
                <w:sz w:val="17"/>
                <w:szCs w:val="17"/>
                <w:color w:val="auto"/>
              </w:rPr>
            </w:pP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8"/>
              </w:rPr>
              <w:t>(Zip Code)</w:t>
            </w: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982-6030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19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7"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260" w:type="dxa"/>
            <w:vAlign w:val="bottom"/>
          </w:tcPr>
          <w:p>
            <w:pPr>
              <w:spacing w:after="0"/>
              <w:rPr>
                <w:sz w:val="17"/>
                <w:szCs w:val="17"/>
                <w:color w:val="auto"/>
              </w:rPr>
            </w:pPr>
          </w:p>
        </w:tc>
      </w:tr>
      <w:tr>
        <w:trPr>
          <w:trHeight w:val="234"/>
        </w:trPr>
        <w:tc>
          <w:tcPr>
            <w:tcW w:w="4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00" w:type="dxa"/>
            <w:vAlign w:val="bottom"/>
          </w:tcPr>
          <w:p>
            <w:pPr>
              <w:spacing w:after="0"/>
              <w:rPr>
                <w:sz w:val="19"/>
                <w:szCs w:val="19"/>
                <w:color w:val="auto"/>
              </w:rPr>
            </w:pPr>
          </w:p>
        </w:tc>
        <w:tc>
          <w:tcPr>
            <w:tcW w:w="2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CRBU</w:t>
            </w:r>
          </w:p>
        </w:tc>
        <w:tc>
          <w:tcPr>
            <w:tcW w:w="8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4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 w:name="page2"/>
    <w:bookmarkEnd w:id="1"/>
    <w:p>
      <w:pPr>
        <w:ind w:right="3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7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December 15, 2022, Caribou Biosciences, Inc. (the “Company”) appointed Jason V. O’Byrne, its Chief Financial Officer, as the Company’s principal accounting officer.</w:t>
      </w:r>
    </w:p>
    <w:p>
      <w:pPr>
        <w:spacing w:after="0" w:line="6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Mr. O’Byrne’s biographical information is contained under the heading “Executive Officers” in the Company’s 2022 definitive proxy statement on Schedule 14A, which was filed with the U.S. Securities and Exchange Commission on August 11, 2022 (the “2022 Proxy”). There are no arrangements or understandings between Mr. O’Byrne and any other persons pursuant to which he was selected as the Company’s Chief Financial Officer in 2021 or as the Company’s principal accounting officer on December 15, 2022. Mr. O’Byrne has no family relationship with any of the Company’s other executive officers or members of the Company’s Board of Directors. There are no transactions to which the Company is or was a participant in which Mr. O’Byrne has a material interest subject to disclosure pursuant to Item 404(a) of Regulation S-K, other than equity and other compensation, employment, termination, change in control, and other arrangements he has received or is entitled to participate in while serving as Chief Financial Officer of the Company, which are described under the heading “Executive and Director Compensation” in the 2022 Proxy and which remain in effect.</w:t>
      </w:r>
    </w:p>
    <w:p>
      <w:pPr>
        <w:spacing w:after="0" w:line="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Company’s Vice President of Finance and Controller, Ryan Fischesser, who was previously serving as the Company’s principal accounting officer, will continue serving as the Company’s Vice President of Finance and Controller but not as the Company’s principal accounting officer, effective as of December 15, 2022. The Board of Directors of the Company determined that, due to the change in the Company’s principal accounting officer, effective December 15, 2022, Ryan Fischesser, the Company’s Vice President of Finance and Controller, is no longer an “officer” for purposes of Section 16 of the Securities Exchange Act of 1934,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3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19"/>
        </w:trPr>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Caribou Biosciences, Inc.</w:t>
      </w:r>
    </w:p>
    <w:p>
      <w:pPr>
        <w:spacing w:after="0" w:line="293" w:lineRule="exact"/>
        <w:rPr>
          <w:sz w:val="20"/>
          <w:szCs w:val="20"/>
          <w:color w:val="auto"/>
        </w:rPr>
      </w:pPr>
    </w:p>
    <w:p>
      <w:pPr>
        <w:ind w:left="20"/>
        <w:spacing w:after="0"/>
        <w:tabs>
          <w:tab w:leader="none" w:pos="620" w:val="left"/>
          <w:tab w:leader="none" w:pos="5600" w:val="left"/>
          <w:tab w:leader="none" w:pos="6100" w:val="left"/>
        </w:tabs>
        <w:rPr>
          <w:sz w:val="20"/>
          <w:szCs w:val="20"/>
          <w:color w:val="auto"/>
        </w:rPr>
      </w:pPr>
      <w:r>
        <w:rPr>
          <w:rFonts w:ascii="Arial" w:cs="Arial" w:eastAsia="Arial" w:hAnsi="Arial"/>
          <w:sz w:val="18"/>
          <w:szCs w:val="18"/>
          <w:color w:val="auto"/>
        </w:rPr>
        <w:t>Date:</w:t>
        <w:tab/>
        <w:t>December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57785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Rachel E. Haurwitz</w:t>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320" w:top="12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2022-12-16T15:11:49Z</dcterms:created>
  <dcterms:modified xsi:type="dcterms:W3CDTF">2022-12-16T15:11:49Z</dcterms:modified>
</cp:coreProperties>
</file>